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t xml:space="preserve">4. Hukuk Dairesi         2021/5350 </w:t>
      </w:r>
      <w:proofErr w:type="gramStart"/>
      <w:r w:rsidRPr="004337CE">
        <w:rPr>
          <w:rFonts w:ascii="Arial" w:eastAsia="Times New Roman" w:hAnsi="Arial" w:cs="Arial"/>
          <w:b/>
          <w:bCs/>
          <w:color w:val="383379"/>
          <w:sz w:val="20"/>
          <w:szCs w:val="20"/>
          <w:lang w:eastAsia="tr-TR"/>
        </w:rPr>
        <w:t>E.  ,</w:t>
      </w:r>
      <w:proofErr w:type="gramEnd"/>
      <w:r w:rsidRPr="004337CE">
        <w:rPr>
          <w:rFonts w:ascii="Arial" w:eastAsia="Times New Roman" w:hAnsi="Arial" w:cs="Arial"/>
          <w:b/>
          <w:bCs/>
          <w:color w:val="383379"/>
          <w:sz w:val="20"/>
          <w:szCs w:val="20"/>
          <w:lang w:eastAsia="tr-TR"/>
        </w:rPr>
        <w:t xml:space="preserve">  2021/6077 K </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r>
      <w:r w:rsidRPr="004337CE">
        <w:rPr>
          <w:rFonts w:ascii="Arial" w:eastAsia="Times New Roman" w:hAnsi="Arial" w:cs="Arial"/>
          <w:b/>
          <w:bCs/>
          <w:color w:val="383379"/>
          <w:sz w:val="20"/>
          <w:szCs w:val="20"/>
          <w:lang w:eastAsia="tr-TR"/>
        </w:rPr>
        <w:t>"İçtihat Metni"</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MAHKEMESİ :Ticaret Mahkemesi</w:t>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t>Taraflar arasındaki tahkim davası hakkında Sigorta Tahkim Komisyonu Uyuşmazlık Hakem Heyeti tarafından verilen karara karşı davalı vekili tarafından itiraz edilmesi üzerine İtiraz Hakem Heyetinin 02/04/2018 tarih ve 2018/İHK-2363 sayılı itirazın reddine dair verilen kararının süresi içinde davalı vekili tarafından temyiz edilmesi üzerine, dosya incelendi, gereği düşünüldü;</w:t>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t>- K A R A R -</w:t>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t xml:space="preserve">Davacı vekili; 11.08.2015 tarihinde, müvekkilinin kullandığı araç ile davalı ... nezdinde ZMMS poliçesi ile sigortalı aracın karıştığı çift taraflı trafik kazasında davacının yaralandığını ve %26,2 sürekli malul kaldığını belirterek fazlaya ilişkin hakları saklı kalmak kaydı ile şimdilik 5.000,00TL maddi tazminatın </w:t>
      </w:r>
      <w:proofErr w:type="spellStart"/>
      <w:r w:rsidRPr="004337CE">
        <w:rPr>
          <w:rFonts w:ascii="Arial" w:eastAsia="Times New Roman" w:hAnsi="Arial" w:cs="Arial"/>
          <w:color w:val="383379"/>
          <w:sz w:val="20"/>
          <w:szCs w:val="20"/>
          <w:lang w:eastAsia="tr-TR"/>
        </w:rPr>
        <w:t>temerrüd</w:t>
      </w:r>
      <w:proofErr w:type="spellEnd"/>
      <w:r w:rsidRPr="004337CE">
        <w:rPr>
          <w:rFonts w:ascii="Arial" w:eastAsia="Times New Roman" w:hAnsi="Arial" w:cs="Arial"/>
          <w:color w:val="383379"/>
          <w:sz w:val="20"/>
          <w:szCs w:val="20"/>
          <w:lang w:eastAsia="tr-TR"/>
        </w:rPr>
        <w:t xml:space="preserve"> tarihinde itibaren işleyecek faiz ile davalıdan tahsiline karar verilmesini talep ve dava etmiştir. Bilirkişi raporu doğrultusunda dava değerini 85.506,00TL'ye yükseltmiştir.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Davalı vekili; davanın reddini savunmuştur.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Sigorta Tahkim </w:t>
      </w:r>
      <w:proofErr w:type="spellStart"/>
      <w:r w:rsidRPr="004337CE">
        <w:rPr>
          <w:rFonts w:ascii="Arial" w:eastAsia="Times New Roman" w:hAnsi="Arial" w:cs="Arial"/>
          <w:color w:val="383379"/>
          <w:sz w:val="20"/>
          <w:szCs w:val="20"/>
          <w:lang w:eastAsia="tr-TR"/>
        </w:rPr>
        <w:t>Komiyonu</w:t>
      </w:r>
      <w:proofErr w:type="spellEnd"/>
      <w:r w:rsidRPr="004337CE">
        <w:rPr>
          <w:rFonts w:ascii="Arial" w:eastAsia="Times New Roman" w:hAnsi="Arial" w:cs="Arial"/>
          <w:color w:val="383379"/>
          <w:sz w:val="20"/>
          <w:szCs w:val="20"/>
          <w:lang w:eastAsia="tr-TR"/>
        </w:rPr>
        <w:t xml:space="preserve"> Uyuşmazlık Hakem Heyetince başvurunun kabulü ile 85.506,00TL tazminatın 22.09.2016 tarihinden itibaren işleyecek yasal faizi </w:t>
      </w:r>
      <w:proofErr w:type="gramStart"/>
      <w:r w:rsidRPr="004337CE">
        <w:rPr>
          <w:rFonts w:ascii="Arial" w:eastAsia="Times New Roman" w:hAnsi="Arial" w:cs="Arial"/>
          <w:color w:val="383379"/>
          <w:sz w:val="20"/>
          <w:szCs w:val="20"/>
          <w:lang w:eastAsia="tr-TR"/>
        </w:rPr>
        <w:t>ile birlikte</w:t>
      </w:r>
      <w:proofErr w:type="gramEnd"/>
      <w:r w:rsidRPr="004337CE">
        <w:rPr>
          <w:rFonts w:ascii="Arial" w:eastAsia="Times New Roman" w:hAnsi="Arial" w:cs="Arial"/>
          <w:color w:val="383379"/>
          <w:sz w:val="20"/>
          <w:szCs w:val="20"/>
          <w:lang w:eastAsia="tr-TR"/>
        </w:rPr>
        <w:t> davalıdan başvurana ödenmesine karar verilmiş hükme karşı davalı vekili itiraz yoluna başvurmuştur. İtiraz Hakem Heyetince itirazın reddine karar verilmiş hüküm davalı vekili tarafından temyiz edilmiştir.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r>
      <w:r w:rsidRPr="004337CE">
        <w:rPr>
          <w:rFonts w:ascii="Arial" w:eastAsia="Times New Roman" w:hAnsi="Arial" w:cs="Arial"/>
          <w:b/>
          <w:bCs/>
          <w:color w:val="383379"/>
          <w:sz w:val="20"/>
          <w:szCs w:val="20"/>
          <w:lang w:eastAsia="tr-TR"/>
        </w:rPr>
        <w:t>1- Dava, trafik kazasından kaynaklanan cismani zarar nedeni ile maddi tazminat istemine ilişkindir.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br/>
        <w:t xml:space="preserve">Haksız fiil sonucu çalışma gücünde kayıp olduğu iddiası ve buna yönelik bir talebin bulunması </w:t>
      </w:r>
      <w:proofErr w:type="spellStart"/>
      <w:proofErr w:type="gramStart"/>
      <w:r w:rsidRPr="004337CE">
        <w:rPr>
          <w:rFonts w:ascii="Arial" w:eastAsia="Times New Roman" w:hAnsi="Arial" w:cs="Arial"/>
          <w:b/>
          <w:bCs/>
          <w:color w:val="383379"/>
          <w:sz w:val="20"/>
          <w:szCs w:val="20"/>
          <w:lang w:eastAsia="tr-TR"/>
        </w:rPr>
        <w:t>halinde,zararın</w:t>
      </w:r>
      <w:proofErr w:type="spellEnd"/>
      <w:proofErr w:type="gramEnd"/>
      <w:r w:rsidRPr="004337CE">
        <w:rPr>
          <w:rFonts w:ascii="Arial" w:eastAsia="Times New Roman" w:hAnsi="Arial" w:cs="Arial"/>
          <w:b/>
          <w:bCs/>
          <w:color w:val="383379"/>
          <w:sz w:val="20"/>
          <w:szCs w:val="20"/>
          <w:lang w:eastAsia="tr-TR"/>
        </w:rPr>
        <w:t xml:space="preserve"> kapsamının tespiti açısından maluliyetin varlığı ve oranının doğru bir şekilde belirlenmesi gerekmektedir. Söz konusu belirlemenin ise Adli Tıp Kurumu İhtisas Dairesi veya Üniversite Hastanelerinin Adli Tıp Anabilim Dalı bölümleri gibi kuruluşlarının çalışma gücü kaybı olduğu iddia edilen kişide bulunan şikâyetler dikkate alınarak oluşturulacak uzman doktor heyetinden kaza tarihi 11.10.2008 tarihinden önce ise Sosyal Sigorta Sağlık İşlemleri Tüzüğü, 11.10.2008 tarihi ile 01.09.2013 tarihleri arasında Çalışma Gücü ve Meslekte Kazanma Gücü Kaybı Oranı Tespit İşlemleri Yönetmeliği, 01.09.2013-01.06.2015 tarihleri arası Maluliyet Tespiti İşlemleri Yönetmeliği, 01.06.2015-20.02.2019 tarihleri arası Özürlülük Ölçütü, Sınıflandırması ve Özürlülere Verilecek Sağlık Kurul Raporları Hakkında Yönetmelik, 20.02.2019 tarihinden sonra Erişkinler İçin Engellilik Değerlendirmesi Hakkında Yönetmelik hükümleri dikkate alınarak yapılması gerekmektedir.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Eldeki dosyada; kaza sonrası düzenlenen ve hükme esas alınan KTÜ Adli Tıp Ana Bilim Dalı </w:t>
      </w:r>
      <w:r w:rsidRPr="004337CE">
        <w:rPr>
          <w:rFonts w:ascii="Arial" w:eastAsia="Times New Roman" w:hAnsi="Arial" w:cs="Arial"/>
          <w:color w:val="383379"/>
          <w:sz w:val="20"/>
          <w:szCs w:val="20"/>
          <w:lang w:eastAsia="tr-TR"/>
        </w:rPr>
        <w:lastRenderedPageBreak/>
        <w:t xml:space="preserve">Başkanlığı'nın 14/06/2017 tarihli raporunda 2008 tarihli Çalışma Gücü ve Meslekte Kazanma Gücü Kaybı Oranı Tespit İşlemleri Yönetmeliği ekindeki meslekte kazanma gücünün azalma oranları tespit cetveli kapsamına göre hazırlandığı ve davacının kazadan kaynaklı maluliyet oranının %26,2 ve geçici iş göremezliğinin 9 ay olduğu tespit edilmiştir. İşbu rapor kaza tarihi itibariyle yürürlükte olmayan yönetmeliğe göre hazırlanmış olup hüküm kurmaya elverişli </w:t>
      </w:r>
      <w:proofErr w:type="spellStart"/>
      <w:r w:rsidRPr="004337CE">
        <w:rPr>
          <w:rFonts w:ascii="Arial" w:eastAsia="Times New Roman" w:hAnsi="Arial" w:cs="Arial"/>
          <w:color w:val="383379"/>
          <w:sz w:val="20"/>
          <w:szCs w:val="20"/>
          <w:lang w:eastAsia="tr-TR"/>
        </w:rPr>
        <w:t>değildir.Eksik</w:t>
      </w:r>
      <w:proofErr w:type="spellEnd"/>
      <w:r w:rsidRPr="004337CE">
        <w:rPr>
          <w:rFonts w:ascii="Arial" w:eastAsia="Times New Roman" w:hAnsi="Arial" w:cs="Arial"/>
          <w:color w:val="383379"/>
          <w:sz w:val="20"/>
          <w:szCs w:val="20"/>
          <w:lang w:eastAsia="tr-TR"/>
        </w:rPr>
        <w:t xml:space="preserve"> inceleme ile karar verilemez.</w:t>
      </w:r>
      <w:r w:rsidRPr="004337CE">
        <w:rPr>
          <w:rFonts w:ascii="Arial" w:eastAsia="Times New Roman" w:hAnsi="Arial" w:cs="Arial"/>
          <w:color w:val="383379"/>
          <w:sz w:val="20"/>
          <w:szCs w:val="20"/>
          <w:lang w:eastAsia="tr-TR"/>
        </w:rPr>
        <w:br/>
        <w:t xml:space="preserve">O halde İtiraz Hakem Heyetince; davacının kaza tarihi ve sonrasındaki tüm tedavi evrakları da eklenerek, davacıya ait dosyada mevcut raporlar da irdelenmek suretiyle , kaza tarihinde yürürlükte olan Özürlülük Ölçütü, Sınıflandırması ve Özürlülere Verilecek Sağlık Kurulu Raporları Hakkında Yönetmelik hükümlerine uygun şekilde, ATK 3.İhtisas Kurulu'ndan ya da üniversitelerin adli tıp anabilim dalı başkanlıklarından rapor alınıp, sonucuna </w:t>
      </w:r>
      <w:proofErr w:type="spellStart"/>
      <w:r w:rsidRPr="004337CE">
        <w:rPr>
          <w:rFonts w:ascii="Arial" w:eastAsia="Times New Roman" w:hAnsi="Arial" w:cs="Arial"/>
          <w:color w:val="383379"/>
          <w:sz w:val="20"/>
          <w:szCs w:val="20"/>
          <w:lang w:eastAsia="tr-TR"/>
        </w:rPr>
        <w:t>göre,temyiz</w:t>
      </w:r>
      <w:proofErr w:type="spellEnd"/>
      <w:r w:rsidRPr="004337CE">
        <w:rPr>
          <w:rFonts w:ascii="Arial" w:eastAsia="Times New Roman" w:hAnsi="Arial" w:cs="Arial"/>
          <w:color w:val="383379"/>
          <w:sz w:val="20"/>
          <w:szCs w:val="20"/>
          <w:lang w:eastAsia="tr-TR"/>
        </w:rPr>
        <w:t xml:space="preserve"> eden davalı lehine </w:t>
      </w:r>
      <w:proofErr w:type="spellStart"/>
      <w:r w:rsidRPr="004337CE">
        <w:rPr>
          <w:rFonts w:ascii="Arial" w:eastAsia="Times New Roman" w:hAnsi="Arial" w:cs="Arial"/>
          <w:color w:val="383379"/>
          <w:sz w:val="20"/>
          <w:szCs w:val="20"/>
          <w:lang w:eastAsia="tr-TR"/>
        </w:rPr>
        <w:t>usuli</w:t>
      </w:r>
      <w:proofErr w:type="spellEnd"/>
      <w:r w:rsidRPr="004337CE">
        <w:rPr>
          <w:rFonts w:ascii="Arial" w:eastAsia="Times New Roman" w:hAnsi="Arial" w:cs="Arial"/>
          <w:color w:val="383379"/>
          <w:sz w:val="20"/>
          <w:szCs w:val="20"/>
          <w:lang w:eastAsia="tr-TR"/>
        </w:rPr>
        <w:t xml:space="preserve"> kazanılmış haklar da gözetilmek suretiyle karar verilmesi gerekirken yazılı olduğu şekilde hüküm tesisi doğru olmayıp bozmayı gerektirmiştir.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2-Somut olayda, Sigorta Tahkim Komisyonu Uyuşmazlık Hakem Heyetince; 85.506,00TL TL tazminatın davalıdan tahsiline ve kendisini vekille temsil ettiren davacı yararına 9.590,40TL vekalet ücreti </w:t>
      </w:r>
      <w:proofErr w:type="spellStart"/>
      <w:proofErr w:type="gramStart"/>
      <w:r w:rsidRPr="004337CE">
        <w:rPr>
          <w:rFonts w:ascii="Arial" w:eastAsia="Times New Roman" w:hAnsi="Arial" w:cs="Arial"/>
          <w:color w:val="383379"/>
          <w:sz w:val="20"/>
          <w:szCs w:val="20"/>
          <w:lang w:eastAsia="tr-TR"/>
        </w:rPr>
        <w:t>hükmedilmiş,davalı</w:t>
      </w:r>
      <w:proofErr w:type="spellEnd"/>
      <w:proofErr w:type="gramEnd"/>
      <w:r w:rsidRPr="004337CE">
        <w:rPr>
          <w:rFonts w:ascii="Arial" w:eastAsia="Times New Roman" w:hAnsi="Arial" w:cs="Arial"/>
          <w:color w:val="383379"/>
          <w:sz w:val="20"/>
          <w:szCs w:val="20"/>
          <w:lang w:eastAsia="tr-TR"/>
        </w:rPr>
        <w:t> vekilinin bu yöndeki itirazlarının reddine karar verilmiştir.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5684 Sayılı Sigortacılık Kanunu 30/17 </w:t>
      </w:r>
      <w:proofErr w:type="spellStart"/>
      <w:r w:rsidRPr="004337CE">
        <w:rPr>
          <w:rFonts w:ascii="Arial" w:eastAsia="Times New Roman" w:hAnsi="Arial" w:cs="Arial"/>
          <w:color w:val="383379"/>
          <w:sz w:val="20"/>
          <w:szCs w:val="20"/>
          <w:lang w:eastAsia="tr-TR"/>
        </w:rPr>
        <w:t>md.</w:t>
      </w:r>
      <w:proofErr w:type="spellEnd"/>
      <w:r w:rsidRPr="004337CE">
        <w:rPr>
          <w:rFonts w:ascii="Arial" w:eastAsia="Times New Roman" w:hAnsi="Arial" w:cs="Arial"/>
          <w:color w:val="383379"/>
          <w:sz w:val="20"/>
          <w:szCs w:val="20"/>
          <w:lang w:eastAsia="tr-TR"/>
        </w:rPr>
        <w:t xml:space="preserve"> ve 19.01.2016 tarihli ve 29598 sayılı Resmi Gazetede yayımlanan Sigortacılıkta Tahkime İlişkin Yönetmelikte Değişiklik Yapılmasına Dair Yönetmeliğin 6. maddesi ile Sigortacılıkta Tahkime İlişkin Yönetmeliğin 16. maddesinin 13. fıkrasına "(13) (Ek:RG-19/1/2016-29598) tarafların avukat ile temsil edildiği hallerde, taraflar aleyhine hükmedilecek vekâlet ücreti, her iki taraf için de Avukatlık Asgarî Ücret Tarifesinde yer alan asliye mahkemelerinde görülen işler için hesaplanan vekâlet ücretinin beşte biridir." hükmü eklenmiştir.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Uyuşmazlık Hakem Heyetince verilen kararda davacı lehine hükmedilecek vekalet ücreti için Sigortacılıkta Tahkime İlişkin Yönetmeliğin 16/13 maddesinin uygulanması gerektiği </w:t>
      </w:r>
      <w:proofErr w:type="spellStart"/>
      <w:r w:rsidRPr="004337CE">
        <w:rPr>
          <w:rFonts w:ascii="Arial" w:eastAsia="Times New Roman" w:hAnsi="Arial" w:cs="Arial"/>
          <w:color w:val="383379"/>
          <w:sz w:val="20"/>
          <w:szCs w:val="20"/>
          <w:lang w:eastAsia="tr-TR"/>
        </w:rPr>
        <w:t>gözönüne</w:t>
      </w:r>
      <w:proofErr w:type="spellEnd"/>
      <w:r w:rsidRPr="004337CE">
        <w:rPr>
          <w:rFonts w:ascii="Arial" w:eastAsia="Times New Roman" w:hAnsi="Arial" w:cs="Arial"/>
          <w:color w:val="383379"/>
          <w:sz w:val="20"/>
          <w:szCs w:val="20"/>
          <w:lang w:eastAsia="tr-TR"/>
        </w:rPr>
        <w:t xml:space="preserve"> alınarak </w:t>
      </w:r>
      <w:proofErr w:type="spellStart"/>
      <w:r w:rsidRPr="004337CE">
        <w:rPr>
          <w:rFonts w:ascii="Arial" w:eastAsia="Times New Roman" w:hAnsi="Arial" w:cs="Arial"/>
          <w:color w:val="383379"/>
          <w:sz w:val="20"/>
          <w:szCs w:val="20"/>
          <w:lang w:eastAsia="tr-TR"/>
        </w:rPr>
        <w:t>AAÜT'nin</w:t>
      </w:r>
      <w:proofErr w:type="spellEnd"/>
      <w:r w:rsidRPr="004337CE">
        <w:rPr>
          <w:rFonts w:ascii="Arial" w:eastAsia="Times New Roman" w:hAnsi="Arial" w:cs="Arial"/>
          <w:color w:val="383379"/>
          <w:sz w:val="20"/>
          <w:szCs w:val="20"/>
          <w:lang w:eastAsia="tr-TR"/>
        </w:rPr>
        <w:t xml:space="preserve"> 17. maddesi gereğince hesaplanan vekalet ücretinin 1/5'i oranında vekalet ücretine </w:t>
      </w:r>
      <w:proofErr w:type="spellStart"/>
      <w:r w:rsidRPr="004337CE">
        <w:rPr>
          <w:rFonts w:ascii="Arial" w:eastAsia="Times New Roman" w:hAnsi="Arial" w:cs="Arial"/>
          <w:color w:val="383379"/>
          <w:sz w:val="20"/>
          <w:szCs w:val="20"/>
          <w:lang w:eastAsia="tr-TR"/>
        </w:rPr>
        <w:t>hükmedilmesi,ancak</w:t>
      </w:r>
      <w:proofErr w:type="spellEnd"/>
      <w:r w:rsidRPr="004337CE">
        <w:rPr>
          <w:rFonts w:ascii="Arial" w:eastAsia="Times New Roman" w:hAnsi="Arial" w:cs="Arial"/>
          <w:color w:val="383379"/>
          <w:sz w:val="20"/>
          <w:szCs w:val="20"/>
          <w:lang w:eastAsia="tr-TR"/>
        </w:rPr>
        <w:t xml:space="preserve"> hesaplanan miktarın maktu ücretin altında kalması halinde maktu ücrete hükmedilmesi gerekirken yazılı şekilde vekalet ücretine hükmedilmesi ve davalı vekilinin bu yöndeki itirazlarının reddine karar verilmesi doğru görülmemiştir.</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SONUÇ: Yukarıda (1) ve (2) nolu bentte açıklanan nedenlerle davalı vekilinin temyiz itirazlarının kabulü ile İtiraz Hakem Heyeti kararının BOZULMASINA, peşin alınan harcın istek halinde temyiz eden davalıya geri verilmesine 05/10/2021 gününde oybirliğiyle karar verildi.</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 </w:t>
      </w:r>
    </w:p>
    <w:p w14:paraId="1A32D03D" w14:textId="21651E5E"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 </w:t>
      </w:r>
    </w:p>
    <w:p w14:paraId="1A32D03D" w14:textId="21651E5E" w:rsidR="00B55A56"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 </w:t>
      </w:r>
    </w:p>
    <w:p w14:paraId="5A61D040" w14:textId="77777777" w:rsidR="00B55A56" w:rsidRDefault="00B55A56" w:rsidP="00B55A56">
      <w:pPr>
        <w:spacing w:after="0" w:line="330" w:lineRule="atLeast"/>
        <w:jc w:val="both"/>
        <w:rPr>
          <w:rFonts w:ascii="Arial" w:eastAsia="Times New Roman" w:hAnsi="Arial" w:cs="Arial"/>
          <w:color w:val="383379"/>
          <w:sz w:val="20"/>
          <w:szCs w:val="20"/>
          <w:lang w:eastAsia="tr-TR"/>
        </w:rPr>
      </w:pPr>
    </w:p>
    <w:p w14:paraId="25791419" w14:textId="77777777" w:rsidR="00B55A56" w:rsidRDefault="00B55A56" w:rsidP="00B55A56">
      <w:pPr>
        <w:spacing w:after="0" w:line="330" w:lineRule="atLeast"/>
        <w:jc w:val="both"/>
        <w:rPr>
          <w:rFonts w:ascii="Arial" w:eastAsia="Times New Roman" w:hAnsi="Arial" w:cs="Arial"/>
          <w:color w:val="383379"/>
          <w:sz w:val="20"/>
          <w:szCs w:val="20"/>
          <w:lang w:eastAsia="tr-TR"/>
        </w:rPr>
      </w:pPr>
    </w:p>
    <w:p w14:paraId="1E4C4D12" w14:textId="77777777" w:rsidR="00B55A56" w:rsidRDefault="00B55A56" w:rsidP="00B55A56">
      <w:pPr>
        <w:spacing w:after="0" w:line="330" w:lineRule="atLeast"/>
        <w:jc w:val="both"/>
        <w:rPr>
          <w:rFonts w:ascii="Arial" w:eastAsia="Times New Roman" w:hAnsi="Arial" w:cs="Arial"/>
          <w:color w:val="383379"/>
          <w:sz w:val="20"/>
          <w:szCs w:val="20"/>
          <w:lang w:eastAsia="tr-TR"/>
        </w:rPr>
      </w:pPr>
    </w:p>
    <w:p w14:paraId="4BE99E59" w14:textId="77777777" w:rsidR="00B55A56" w:rsidRDefault="00B55A56" w:rsidP="00B55A56">
      <w:pPr>
        <w:spacing w:after="0" w:line="330" w:lineRule="atLeast"/>
        <w:jc w:val="both"/>
        <w:rPr>
          <w:rFonts w:ascii="Arial" w:eastAsia="Times New Roman" w:hAnsi="Arial" w:cs="Arial"/>
          <w:color w:val="383379"/>
          <w:sz w:val="20"/>
          <w:szCs w:val="20"/>
          <w:lang w:eastAsia="tr-TR"/>
        </w:rPr>
      </w:pP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lastRenderedPageBreak/>
        <w:t xml:space="preserve">4. Hukuk Dairesi         2021/2621 </w:t>
      </w:r>
      <w:proofErr w:type="gramStart"/>
      <w:r w:rsidRPr="004337CE">
        <w:rPr>
          <w:rFonts w:ascii="Arial" w:eastAsia="Times New Roman" w:hAnsi="Arial" w:cs="Arial"/>
          <w:b/>
          <w:bCs/>
          <w:color w:val="383379"/>
          <w:sz w:val="20"/>
          <w:szCs w:val="20"/>
          <w:lang w:eastAsia="tr-TR"/>
        </w:rPr>
        <w:t>E.  ,</w:t>
      </w:r>
      <w:proofErr w:type="gramEnd"/>
      <w:r w:rsidRPr="004337CE">
        <w:rPr>
          <w:rFonts w:ascii="Arial" w:eastAsia="Times New Roman" w:hAnsi="Arial" w:cs="Arial"/>
          <w:b/>
          <w:bCs/>
          <w:color w:val="383379"/>
          <w:sz w:val="20"/>
          <w:szCs w:val="20"/>
          <w:lang w:eastAsia="tr-TR"/>
        </w:rPr>
        <w:t xml:space="preserve">  2021/2234 K.</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r>
      <w:r w:rsidRPr="004337CE">
        <w:rPr>
          <w:rFonts w:ascii="Arial" w:eastAsia="Times New Roman" w:hAnsi="Arial" w:cs="Arial"/>
          <w:b/>
          <w:bCs/>
          <w:color w:val="383379"/>
          <w:sz w:val="20"/>
          <w:szCs w:val="20"/>
          <w:lang w:eastAsia="tr-TR"/>
        </w:rPr>
        <w:t>"İçtihat Metni"</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MAHKEMESİ :Ticaret Mahkemesi</w:t>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t>Davacı ... vekili Av.... tarafından, davalı Doğa Sigorta Anonim Şirketi aleyhine 26/08/2019 tarihli dilekçe ile trafik kazasından kaynaklanan yaralanma nedeniyle maddi tazminat istenmesi üzerine Uyuşmazlık Hakem Heyetince yapılan yargılama sonucunda; başvurunun kabulüne dair verilen kararın davalı vekilinin başvurusu üzerine yapılan itiraz incelemesinde; İtiraz Hakem Heyetince davalı tarafın itirazının reddine dair verilen 03/04/2020 günlü ve 2020/İ.1304 Esas, 2020/İHK-7373 Karar sayılı kararının Yargıtay'ca incelenmesi davalı vekili tarafından süresi içinde istenilmekle temyiz dilekçesinin kabulüne karar verildikten sonra tetkik hakimi tarafından hazırlanan rapor ile dosya içerisindeki kağıtlar incelenerek gereği görüşüldü.</w:t>
      </w:r>
      <w:r w:rsidRPr="004337CE">
        <w:rPr>
          <w:rFonts w:ascii="Arial" w:eastAsia="Times New Roman" w:hAnsi="Arial" w:cs="Arial"/>
          <w:color w:val="383379"/>
          <w:sz w:val="20"/>
          <w:szCs w:val="20"/>
          <w:lang w:eastAsia="tr-TR"/>
        </w:rPr>
        <w:br/>
        <w:t>K A R A R</w:t>
      </w:r>
      <w:r w:rsidRPr="004337CE">
        <w:rPr>
          <w:rFonts w:ascii="Arial" w:eastAsia="Times New Roman" w:hAnsi="Arial" w:cs="Arial"/>
          <w:color w:val="383379"/>
          <w:sz w:val="20"/>
          <w:szCs w:val="20"/>
          <w:lang w:eastAsia="tr-TR"/>
        </w:rPr>
        <w:br/>
        <w:t>Davacı vekili 26.08.2019 tarihli Sigorta Tahkim Komisyonuna başvurusunda; 01.05.2017 tarihinde davacının yolcu olarak bulunduğu, davalının sigortacısı olduğu aracın karıştığı kaza sonucu davacının malul kalacak şekilde yaralandığını, davalıya yapılan başvuruya rağmen ödeme yapılmadığını belirterek fazlaya ilişkin haklar saklı kalmak kaydıyla 41.000,00 TL sürekli iş göremezlik tazminatının başvuru tarihinden itibaren yasal faizi ile davalı ... şirketinden tahsiline karar verilmesini talep etmiş, dava değerini 119.305,00 TL‘ye yükseltmiştir.</w:t>
      </w:r>
      <w:r w:rsidRPr="004337CE">
        <w:rPr>
          <w:rFonts w:ascii="Arial" w:eastAsia="Times New Roman" w:hAnsi="Arial" w:cs="Arial"/>
          <w:color w:val="383379"/>
          <w:sz w:val="20"/>
          <w:szCs w:val="20"/>
          <w:lang w:eastAsia="tr-TR"/>
        </w:rPr>
        <w:br/>
        <w:t>Davalı vekili; başvurunun reddine karar verilmesini talep etmiştir.</w:t>
      </w:r>
      <w:r w:rsidRPr="004337CE">
        <w:rPr>
          <w:rFonts w:ascii="Arial" w:eastAsia="Times New Roman" w:hAnsi="Arial" w:cs="Arial"/>
          <w:color w:val="383379"/>
          <w:sz w:val="20"/>
          <w:szCs w:val="20"/>
          <w:lang w:eastAsia="tr-TR"/>
        </w:rPr>
        <w:br/>
        <w:t xml:space="preserve">Sigorta Tahkim Komisyonu Uyuşmazlık Hakem Heyetince, davacının talebinin kabulü ile 119.305,00 TL'nin 14.08.2019 tarihinden itibaren işleyecek yasal faizi ile birlikte Doğa Sigorta </w:t>
      </w:r>
      <w:proofErr w:type="spellStart"/>
      <w:r w:rsidRPr="004337CE">
        <w:rPr>
          <w:rFonts w:ascii="Arial" w:eastAsia="Times New Roman" w:hAnsi="Arial" w:cs="Arial"/>
          <w:color w:val="383379"/>
          <w:sz w:val="20"/>
          <w:szCs w:val="20"/>
          <w:lang w:eastAsia="tr-TR"/>
        </w:rPr>
        <w:t>A.Ş.'den</w:t>
      </w:r>
      <w:proofErr w:type="spellEnd"/>
      <w:r w:rsidRPr="004337CE">
        <w:rPr>
          <w:rFonts w:ascii="Arial" w:eastAsia="Times New Roman" w:hAnsi="Arial" w:cs="Arial"/>
          <w:color w:val="383379"/>
          <w:sz w:val="20"/>
          <w:szCs w:val="20"/>
          <w:lang w:eastAsia="tr-TR"/>
        </w:rPr>
        <w:t xml:space="preserve"> tahsiline karar verilmiş; Sigorta Tahkim Komisyonu Uyuşmazlık Hakem Heyeti kararına karşı davalı vekilince yapılan itirazın reddine karar verilmiş; İtiraz Hakem Heyeti kararı, davalı vekili tarafından temyiz edilmiştir.</w:t>
      </w:r>
      <w:r w:rsidRPr="004337CE">
        <w:rPr>
          <w:rFonts w:ascii="Arial" w:eastAsia="Times New Roman" w:hAnsi="Arial" w:cs="Arial"/>
          <w:color w:val="383379"/>
          <w:sz w:val="20"/>
          <w:szCs w:val="20"/>
          <w:lang w:eastAsia="tr-TR"/>
        </w:rPr>
        <w:br/>
        <w:t>1-Dosya içerisindeki bilgi ve belgelere, İtiraz Hakem Heyeti kararının gerekçesinde dayanılan delillerin tartışılıp, değerlendirilmesinde usul ve yasaya aykırı bir yön bulunmamasına göre, davalı vekilinin aşağıdaki bendin kapsamı dışında kalan sair temyiz itirazlarının reddi gerekmiştir.</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r>
      <w:r w:rsidRPr="004337CE">
        <w:rPr>
          <w:rFonts w:ascii="Arial" w:eastAsia="Times New Roman" w:hAnsi="Arial" w:cs="Arial"/>
          <w:b/>
          <w:bCs/>
          <w:color w:val="383379"/>
          <w:sz w:val="20"/>
          <w:szCs w:val="20"/>
          <w:lang w:eastAsia="tr-TR"/>
        </w:rPr>
        <w:t>2-Dava, trafik kazasından kaynaklanan cismani zarar nedeni ile maddi tazminat istemine ilişkindir.</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br/>
        <w:t xml:space="preserve">Haksız fiil sonucu çalışma gücünde kayıp olduğu iddiası ve buna yönelik bir talebin bulunması </w:t>
      </w:r>
      <w:proofErr w:type="spellStart"/>
      <w:proofErr w:type="gramStart"/>
      <w:r w:rsidRPr="004337CE">
        <w:rPr>
          <w:rFonts w:ascii="Arial" w:eastAsia="Times New Roman" w:hAnsi="Arial" w:cs="Arial"/>
          <w:b/>
          <w:bCs/>
          <w:color w:val="383379"/>
          <w:sz w:val="20"/>
          <w:szCs w:val="20"/>
          <w:lang w:eastAsia="tr-TR"/>
        </w:rPr>
        <w:t>halinde,zararın</w:t>
      </w:r>
      <w:proofErr w:type="spellEnd"/>
      <w:proofErr w:type="gramEnd"/>
      <w:r w:rsidRPr="004337CE">
        <w:rPr>
          <w:rFonts w:ascii="Arial" w:eastAsia="Times New Roman" w:hAnsi="Arial" w:cs="Arial"/>
          <w:b/>
          <w:bCs/>
          <w:color w:val="383379"/>
          <w:sz w:val="20"/>
          <w:szCs w:val="20"/>
          <w:lang w:eastAsia="tr-TR"/>
        </w:rPr>
        <w:t xml:space="preserve"> kapsamının tespiti açısından maluliyetin varlığı ve oranının doğru bir şekilde belirlenmesi gerekmektedir. Söz konusu belirlemenin ise Adli Tıp Kurumu İhtisas Dairesi veya Üniversite Hastanelerinin Adli Tıp Anabilim Dalı bölümleri gibi kuruluşlarının çalışma gücü kaybı olduğu iddia edilen kişide bulunan şikâyetler dikkate alınarak oluşturulacak uzman doktor heyetinden kaza tarihi 11.10.2008 tarihinden önce ise Sosyal Sigorta Sağlık İşlemleri Tüzüğü, 11.10.2008 tarihi ile 01.09.2013 tarihleri arasında Çalışma Gücü ve Meslekte Kazanma Gücü Kaybı Oranı Tespit İşlemleri Yönetmeliği, 01.09.2013-01.06.2015 tarihleri arası Maluliyet Tespiti İşlemleri </w:t>
      </w:r>
      <w:r w:rsidRPr="004337CE">
        <w:rPr>
          <w:rFonts w:ascii="Arial" w:eastAsia="Times New Roman" w:hAnsi="Arial" w:cs="Arial"/>
          <w:b/>
          <w:bCs/>
          <w:color w:val="383379"/>
          <w:sz w:val="20"/>
          <w:szCs w:val="20"/>
          <w:lang w:eastAsia="tr-TR"/>
        </w:rPr>
        <w:lastRenderedPageBreak/>
        <w:t>Yönetmeliği, 01.06.2015-20.02.2019 tarihleri arası Özürlülük Ölçütü, Sınıflandırması ve Özürlülere Verilecek Sağlık Kurul Raporları Hakkında Yönetmelik, 20.02.2019 tarihinden sonra Erişkinler İçin Engellilik Değerlendirmesi Hakkında Yönetmelik hükümleri dikkate alınarak yapılması gerekmektedir.</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Eldeki dosyada; kaza sonrası düzenlenen Adana Şehir Eğitim ve Araştırma Hastanesi 01.11.2018 tarih ve 5556/11230001 sayılı Engelli Sağlık Kurulu Raporuna göre, beyin hasarına bağlı organik duygudurum bozukluğu (tedavi ile işlevselliği kısmen düzelen), sağ görme kaybı ve sol işitme kaybı tanısı ile kişinin engel oranının %60 olduğu şeklinde maluliyet oranı belirlenmiştir. Dosyada mevcut ve hükme esas alınan raporun hangi Yönetmelik hükümleri esas alınarak düzenlendiği belli değildir.</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Ayrıca, ceza yargılaması sırasında alınan kesin hekim raporuna göre, davacının basit tıbbi müdahale ile giderilebilecek ölçüde yaralandığı, her ne kadar kaza nedeniyle hafıza kaybı yaşadığını iddia etse de 22/10/2018 tarihli doktor raporunda şahısta trafik kazası ile ilişkilendirilebilecek ruhsal rahatsızlık saptanmadığının belirtildiği görülmektedir. Eksik inceleme ile hüküm kurulamaz.</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O halde Hakem Heyetince; dava konusu olaya ilişkin ceza dosyası (Osmaniye 1. Ağır Ceza Mahkemesi 2018/845 Esas -2019/640 sayılı) ve 22/10/2018 tarihli doktor raporu ile davacının kaza tarihi ve sonrasındaki tüm tedavi evrakları da eklenerek, davacıya ait Adana Şehir Eğitim ve Araştırma Hastanesi 01.11.2018 tarih ve 5556/11230001 sayılı Engelli Sağlık Kurulu Raporu ve ceza dosyasındaki 22/10/2018 tarihli raporu da irdelenmek suretiyle, kaza tarihinde yürürlükte olan Özürlülük Ölçütü, Sınıflandırması ve Özürlülere Verilecek Sağlık Kurulu Raporları Hakkında Yönetmelik hükümlerine uygun şekilde, ATK 3.İhtisas Kurulu'ndan ya da üniversitelerin adli tıp anabilim dalı başkanlıklarından rapor alınıp, sonucuna göre, temyiz eden davalı lehine </w:t>
      </w:r>
      <w:proofErr w:type="spellStart"/>
      <w:r w:rsidRPr="004337CE">
        <w:rPr>
          <w:rFonts w:ascii="Arial" w:eastAsia="Times New Roman" w:hAnsi="Arial" w:cs="Arial"/>
          <w:color w:val="383379"/>
          <w:sz w:val="20"/>
          <w:szCs w:val="20"/>
          <w:lang w:eastAsia="tr-TR"/>
        </w:rPr>
        <w:t>usuli</w:t>
      </w:r>
      <w:proofErr w:type="spellEnd"/>
      <w:r w:rsidRPr="004337CE">
        <w:rPr>
          <w:rFonts w:ascii="Arial" w:eastAsia="Times New Roman" w:hAnsi="Arial" w:cs="Arial"/>
          <w:color w:val="383379"/>
          <w:sz w:val="20"/>
          <w:szCs w:val="20"/>
          <w:lang w:eastAsia="tr-TR"/>
        </w:rPr>
        <w:t xml:space="preserve"> kazanılmış haklar dikkate gözetilmek suretiyle karar verilmesi gerektiğinin gözetilmemesi doğru olmayıp bozmayı gerektirmiştir.</w:t>
      </w:r>
    </w:p>
    <w:p w14:paraId="4C1D6F6A" w14:textId="77777777" w:rsidR="00B55A56" w:rsidRPr="004337CE" w:rsidRDefault="00B55A56" w:rsidP="00B55A56">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SONUÇ: Yukarıda (1) numaralı bentte açıklanan nedenlerle davalı vekilinin sair temyiz itirazlarının REDDİNE, (2) numaralı bentte açıklanan nedenlerle davalı vekilinin temyiz itirazlarının kabulü ile İtiraz Hakem Heyeti kararının BOZULMASINA, peşin alınan harcın istek halinde temyiz eden davalıya geri verilmesine 02/06/2021 gününde oybirliğiyle karar verildi.</w:t>
      </w:r>
    </w:p>
    <w:p w14:paraId="4C1D6F6A" w14:textId="77777777" w:rsidR="00173FC5" w:rsidRDefault="00173FC5"/>
    <w:sectPr w:rsidR="00173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18"/>
    <w:rsid w:val="00173FC5"/>
    <w:rsid w:val="004E5D3B"/>
    <w:rsid w:val="006B7A18"/>
    <w:rsid w:val="00AB71B0"/>
    <w:rsid w:val="00B55A56"/>
    <w:rsid w:val="00D52C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4127"/>
  <w15:chartTrackingRefBased/>
  <w15:docId w15:val="{70E3EC8E-4DAE-48E4-A307-A49F4937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56"/>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6B7A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6B7A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6B7A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6B7A1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6B7A1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6B7A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6B7A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6B7A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6B7A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7A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B7A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B7A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B7A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B7A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B7A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7A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7A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7A18"/>
    <w:rPr>
      <w:rFonts w:eastAsiaTheme="majorEastAsia" w:cstheme="majorBidi"/>
      <w:color w:val="272727" w:themeColor="text1" w:themeTint="D8"/>
    </w:rPr>
  </w:style>
  <w:style w:type="paragraph" w:styleId="KonuBal">
    <w:name w:val="Title"/>
    <w:basedOn w:val="Normal"/>
    <w:next w:val="Normal"/>
    <w:link w:val="KonuBalChar"/>
    <w:uiPriority w:val="10"/>
    <w:qFormat/>
    <w:rsid w:val="006B7A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B7A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7A1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B7A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7A18"/>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6B7A18"/>
    <w:rPr>
      <w:i/>
      <w:iCs/>
      <w:color w:val="404040" w:themeColor="text1" w:themeTint="BF"/>
    </w:rPr>
  </w:style>
  <w:style w:type="paragraph" w:styleId="ListeParagraf">
    <w:name w:val="List Paragraph"/>
    <w:basedOn w:val="Normal"/>
    <w:uiPriority w:val="34"/>
    <w:qFormat/>
    <w:rsid w:val="006B7A18"/>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6B7A18"/>
    <w:rPr>
      <w:i/>
      <w:iCs/>
      <w:color w:val="0F4761" w:themeColor="accent1" w:themeShade="BF"/>
    </w:rPr>
  </w:style>
  <w:style w:type="paragraph" w:styleId="GlAlnt">
    <w:name w:val="Intense Quote"/>
    <w:basedOn w:val="Normal"/>
    <w:next w:val="Normal"/>
    <w:link w:val="GlAlntChar"/>
    <w:uiPriority w:val="30"/>
    <w:qFormat/>
    <w:rsid w:val="006B7A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6B7A18"/>
    <w:rPr>
      <w:i/>
      <w:iCs/>
      <w:color w:val="0F4761" w:themeColor="accent1" w:themeShade="BF"/>
    </w:rPr>
  </w:style>
  <w:style w:type="character" w:styleId="GlBavuru">
    <w:name w:val="Intense Reference"/>
    <w:basedOn w:val="VarsaylanParagrafYazTipi"/>
    <w:uiPriority w:val="32"/>
    <w:qFormat/>
    <w:rsid w:val="006B7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onar balya</dc:creator>
  <cp:keywords/>
  <dc:description/>
  <cp:lastModifiedBy>onar balya</cp:lastModifiedBy>
  <cp:revision>2</cp:revision>
  <dcterms:created xsi:type="dcterms:W3CDTF">2025-04-12T17:57:00Z</dcterms:created>
  <dcterms:modified xsi:type="dcterms:W3CDTF">2025-04-12T17:59:00Z</dcterms:modified>
</cp:coreProperties>
</file>